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14B5" w:rsidRDefault="00CB14B5" w:rsidP="00CB14B5">
      <w:pPr>
        <w:rPr>
          <w:color w:val="1F497D"/>
        </w:rPr>
      </w:pPr>
      <w:r>
        <w:rPr>
          <w:color w:val="1F497D"/>
        </w:rPr>
        <w:t>I support your application as it aligns with the land manager’s priority of wildfire risk reduction.</w:t>
      </w:r>
    </w:p>
    <w:p w:rsidR="00CB14B5" w:rsidRDefault="00CB14B5" w:rsidP="00CB14B5">
      <w:pPr>
        <w:rPr>
          <w:color w:val="1F497D"/>
        </w:rPr>
      </w:pPr>
    </w:p>
    <w:p w:rsidR="00CB14B5" w:rsidRDefault="00CB14B5" w:rsidP="00CB14B5">
      <w:pPr>
        <w:rPr>
          <w:color w:val="1F497D"/>
        </w:rPr>
      </w:pPr>
    </w:p>
    <w:tbl>
      <w:tblPr>
        <w:tblW w:w="0" w:type="auto"/>
        <w:tblCellMar>
          <w:left w:w="0" w:type="dxa"/>
          <w:right w:w="0" w:type="dxa"/>
        </w:tblCellMar>
        <w:tblLook w:val="04A0" w:firstRow="1" w:lastRow="0" w:firstColumn="1" w:lastColumn="0" w:noHBand="0" w:noVBand="1"/>
      </w:tblPr>
      <w:tblGrid>
        <w:gridCol w:w="1686"/>
        <w:gridCol w:w="7890"/>
      </w:tblGrid>
      <w:tr w:rsidR="00CB14B5" w:rsidTr="00CB14B5">
        <w:trPr>
          <w:trHeight w:val="1579"/>
        </w:trPr>
        <w:tc>
          <w:tcPr>
            <w:tcW w:w="1686" w:type="dxa"/>
            <w:tcBorders>
              <w:top w:val="nil"/>
              <w:left w:val="nil"/>
              <w:bottom w:val="nil"/>
              <w:right w:val="single" w:sz="8" w:space="0" w:color="auto"/>
            </w:tcBorders>
            <w:tcMar>
              <w:top w:w="0" w:type="dxa"/>
              <w:left w:w="108" w:type="dxa"/>
              <w:bottom w:w="0" w:type="dxa"/>
              <w:right w:w="108" w:type="dxa"/>
            </w:tcMar>
            <w:hideMark/>
          </w:tcPr>
          <w:p w:rsidR="00CB14B5" w:rsidRDefault="00CB14B5">
            <w:pPr>
              <w:rPr>
                <w:color w:val="1F497D"/>
                <w:lang w:eastAsia="en-US"/>
              </w:rPr>
            </w:pPr>
            <w:r>
              <w:rPr>
                <w:noProof/>
                <w:color w:val="1F497D"/>
                <w:sz w:val="18"/>
                <w:szCs w:val="18"/>
              </w:rPr>
              <w:drawing>
                <wp:inline distT="0" distB="0" distL="0" distR="0">
                  <wp:extent cx="922655" cy="1137285"/>
                  <wp:effectExtent l="0" t="0" r="0" b="5715"/>
                  <wp:docPr id="2" name="Picture 2" descr="cid:image001.png@01D48719.81FE0E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image001.png@01D48719.81FE0EF0"/>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922655" cy="1137285"/>
                          </a:xfrm>
                          <a:prstGeom prst="rect">
                            <a:avLst/>
                          </a:prstGeom>
                          <a:noFill/>
                          <a:ln>
                            <a:noFill/>
                          </a:ln>
                        </pic:spPr>
                      </pic:pic>
                    </a:graphicData>
                  </a:graphic>
                </wp:inline>
              </w:drawing>
            </w:r>
          </w:p>
        </w:tc>
        <w:tc>
          <w:tcPr>
            <w:tcW w:w="7890" w:type="dxa"/>
            <w:tcMar>
              <w:top w:w="0" w:type="dxa"/>
              <w:left w:w="108" w:type="dxa"/>
              <w:bottom w:w="0" w:type="dxa"/>
              <w:right w:w="108" w:type="dxa"/>
            </w:tcMar>
            <w:hideMark/>
          </w:tcPr>
          <w:p w:rsidR="00CB14B5" w:rsidRDefault="00CB14B5">
            <w:pPr>
              <w:rPr>
                <w:b/>
                <w:bCs/>
                <w:color w:val="1F497D"/>
              </w:rPr>
            </w:pPr>
            <w:r>
              <w:rPr>
                <w:b/>
                <w:bCs/>
                <w:color w:val="1F497D"/>
              </w:rPr>
              <w:t>Julie Castonguay, RPF</w:t>
            </w:r>
          </w:p>
          <w:p w:rsidR="00CB14B5" w:rsidRDefault="00CB14B5">
            <w:pPr>
              <w:rPr>
                <w:b/>
                <w:bCs/>
                <w:color w:val="1F497D"/>
              </w:rPr>
            </w:pPr>
            <w:r>
              <w:rPr>
                <w:b/>
                <w:bCs/>
                <w:color w:val="1F497D"/>
              </w:rPr>
              <w:t>Integrated Investment Specialist</w:t>
            </w:r>
          </w:p>
          <w:p w:rsidR="00CB14B5" w:rsidRDefault="00CB14B5">
            <w:pPr>
              <w:rPr>
                <w:color w:val="1F497D"/>
              </w:rPr>
            </w:pPr>
            <w:r>
              <w:rPr>
                <w:color w:val="1F497D"/>
              </w:rPr>
              <w:t>Kootenay Boundary Region | Nelson</w:t>
            </w:r>
          </w:p>
          <w:p w:rsidR="00CB14B5" w:rsidRDefault="00CB14B5">
            <w:pPr>
              <w:rPr>
                <w:color w:val="1F497D"/>
              </w:rPr>
            </w:pPr>
            <w:r>
              <w:rPr>
                <w:color w:val="1F497D"/>
              </w:rPr>
              <w:t xml:space="preserve">Phone 250.825.1147 </w:t>
            </w:r>
          </w:p>
          <w:p w:rsidR="00CB14B5" w:rsidRDefault="00CB14B5">
            <w:pPr>
              <w:rPr>
                <w:rFonts w:ascii="Arial" w:hAnsi="Arial" w:cs="Arial"/>
                <w:b/>
                <w:bCs/>
                <w:color w:val="1F497D"/>
                <w:sz w:val="20"/>
                <w:szCs w:val="20"/>
              </w:rPr>
            </w:pPr>
            <w:r>
              <w:rPr>
                <w:rFonts w:ascii="Arial" w:hAnsi="Arial" w:cs="Arial"/>
                <w:b/>
                <w:bCs/>
                <w:color w:val="1F497D"/>
                <w:sz w:val="20"/>
                <w:szCs w:val="20"/>
              </w:rPr>
              <w:t>Ministry of Forests, Lands, Natural Resource Operations and Rural Development</w:t>
            </w:r>
          </w:p>
        </w:tc>
      </w:tr>
    </w:tbl>
    <w:p w:rsidR="00CB14B5" w:rsidRDefault="00CB14B5" w:rsidP="00CB14B5">
      <w:pPr>
        <w:rPr>
          <w:color w:val="1F497D"/>
        </w:rPr>
      </w:pPr>
    </w:p>
    <w:p w:rsidR="00CB14B5" w:rsidRDefault="00CB14B5" w:rsidP="00CB14B5">
      <w:pPr>
        <w:rPr>
          <w:color w:val="1F497D"/>
        </w:rPr>
      </w:pPr>
    </w:p>
    <w:p w:rsidR="00CB14B5" w:rsidRDefault="00CB14B5" w:rsidP="00CB14B5">
      <w:pPr>
        <w:rPr>
          <w:color w:val="1F497D"/>
        </w:rPr>
      </w:pPr>
    </w:p>
    <w:p w:rsidR="00CB14B5" w:rsidRDefault="00CB14B5" w:rsidP="00CB14B5">
      <w:pPr>
        <w:rPr>
          <w:color w:val="1F497D"/>
        </w:rPr>
      </w:pPr>
    </w:p>
    <w:p w:rsidR="00CB14B5" w:rsidRDefault="00CB14B5" w:rsidP="00CB14B5">
      <w:pPr>
        <w:outlineLvl w:val="0"/>
        <w:rPr>
          <w:rFonts w:ascii="Tahoma" w:hAnsi="Tahoma" w:cs="Tahoma"/>
          <w:sz w:val="20"/>
          <w:szCs w:val="20"/>
          <w:lang w:val="en-US"/>
        </w:rPr>
      </w:pPr>
      <w:r>
        <w:rPr>
          <w:rFonts w:ascii="Tahoma" w:hAnsi="Tahoma" w:cs="Tahoma"/>
          <w:b/>
          <w:bCs/>
          <w:sz w:val="20"/>
          <w:szCs w:val="20"/>
          <w:lang w:val="en-US"/>
        </w:rPr>
        <w:t>From:</w:t>
      </w:r>
      <w:r>
        <w:rPr>
          <w:rFonts w:ascii="Tahoma" w:hAnsi="Tahoma" w:cs="Tahoma"/>
          <w:sz w:val="20"/>
          <w:szCs w:val="20"/>
          <w:lang w:val="en-US"/>
        </w:rPr>
        <w:t xml:space="preserve"> Weber-Roy, Amanda ENV</w:t>
      </w:r>
      <w:proofErr w:type="gramStart"/>
      <w:r>
        <w:rPr>
          <w:rFonts w:ascii="Tahoma" w:hAnsi="Tahoma" w:cs="Tahoma"/>
          <w:sz w:val="20"/>
          <w:szCs w:val="20"/>
          <w:lang w:val="en-US"/>
        </w:rPr>
        <w:t>:EX</w:t>
      </w:r>
      <w:proofErr w:type="gramEnd"/>
      <w:r>
        <w:rPr>
          <w:rFonts w:ascii="Tahoma" w:hAnsi="Tahoma" w:cs="Tahoma"/>
          <w:sz w:val="20"/>
          <w:szCs w:val="20"/>
          <w:lang w:val="en-US"/>
        </w:rPr>
        <w:t xml:space="preserve"> </w:t>
      </w:r>
      <w:r>
        <w:rPr>
          <w:rFonts w:ascii="Tahoma" w:hAnsi="Tahoma" w:cs="Tahoma"/>
          <w:sz w:val="20"/>
          <w:szCs w:val="20"/>
          <w:lang w:val="en-US"/>
        </w:rPr>
        <w:br/>
      </w:r>
      <w:r>
        <w:rPr>
          <w:rFonts w:ascii="Tahoma" w:hAnsi="Tahoma" w:cs="Tahoma"/>
          <w:b/>
          <w:bCs/>
          <w:sz w:val="20"/>
          <w:szCs w:val="20"/>
          <w:lang w:val="en-US"/>
        </w:rPr>
        <w:t>Sent:</w:t>
      </w:r>
      <w:r>
        <w:rPr>
          <w:rFonts w:ascii="Tahoma" w:hAnsi="Tahoma" w:cs="Tahoma"/>
          <w:sz w:val="20"/>
          <w:szCs w:val="20"/>
          <w:lang w:val="en-US"/>
        </w:rPr>
        <w:t xml:space="preserve"> Tuesday, November 27, 2018 11:50 AM</w:t>
      </w:r>
      <w:r>
        <w:rPr>
          <w:rFonts w:ascii="Tahoma" w:hAnsi="Tahoma" w:cs="Tahoma"/>
          <w:sz w:val="20"/>
          <w:szCs w:val="20"/>
          <w:lang w:val="en-US"/>
        </w:rPr>
        <w:br/>
      </w:r>
      <w:r>
        <w:rPr>
          <w:rFonts w:ascii="Tahoma" w:hAnsi="Tahoma" w:cs="Tahoma"/>
          <w:b/>
          <w:bCs/>
          <w:sz w:val="20"/>
          <w:szCs w:val="20"/>
          <w:lang w:val="en-US"/>
        </w:rPr>
        <w:t>To:</w:t>
      </w:r>
      <w:r>
        <w:rPr>
          <w:rFonts w:ascii="Tahoma" w:hAnsi="Tahoma" w:cs="Tahoma"/>
          <w:sz w:val="20"/>
          <w:szCs w:val="20"/>
          <w:lang w:val="en-US"/>
        </w:rPr>
        <w:t xml:space="preserve"> Morrow, Mike FLNR:EX</w:t>
      </w:r>
      <w:r>
        <w:rPr>
          <w:rFonts w:ascii="Tahoma" w:hAnsi="Tahoma" w:cs="Tahoma"/>
          <w:sz w:val="20"/>
          <w:szCs w:val="20"/>
          <w:lang w:val="en-US"/>
        </w:rPr>
        <w:br/>
      </w:r>
      <w:r>
        <w:rPr>
          <w:rFonts w:ascii="Tahoma" w:hAnsi="Tahoma" w:cs="Tahoma"/>
          <w:b/>
          <w:bCs/>
          <w:sz w:val="20"/>
          <w:szCs w:val="20"/>
          <w:lang w:val="en-US"/>
        </w:rPr>
        <w:t>Cc:</w:t>
      </w:r>
      <w:r>
        <w:rPr>
          <w:rFonts w:ascii="Tahoma" w:hAnsi="Tahoma" w:cs="Tahoma"/>
          <w:sz w:val="20"/>
          <w:szCs w:val="20"/>
          <w:lang w:val="en-US"/>
        </w:rPr>
        <w:t xml:space="preserve"> Castonguay, Julie FLNR:EX</w:t>
      </w:r>
      <w:r>
        <w:rPr>
          <w:rFonts w:ascii="Tahoma" w:hAnsi="Tahoma" w:cs="Tahoma"/>
          <w:sz w:val="20"/>
          <w:szCs w:val="20"/>
          <w:lang w:val="en-US"/>
        </w:rPr>
        <w:br/>
      </w:r>
      <w:r>
        <w:rPr>
          <w:rFonts w:ascii="Tahoma" w:hAnsi="Tahoma" w:cs="Tahoma"/>
          <w:b/>
          <w:bCs/>
          <w:sz w:val="20"/>
          <w:szCs w:val="20"/>
          <w:lang w:val="en-US"/>
        </w:rPr>
        <w:t>Subject:</w:t>
      </w:r>
      <w:r>
        <w:rPr>
          <w:rFonts w:ascii="Tahoma" w:hAnsi="Tahoma" w:cs="Tahoma"/>
          <w:sz w:val="20"/>
          <w:szCs w:val="20"/>
          <w:lang w:val="en-US"/>
        </w:rPr>
        <w:t xml:space="preserve"> RE: Support for FES Applications</w:t>
      </w:r>
      <w:r>
        <w:rPr>
          <w:rFonts w:ascii="Tahoma" w:hAnsi="Tahoma" w:cs="Tahoma"/>
          <w:sz w:val="20"/>
          <w:szCs w:val="20"/>
          <w:lang w:val="en-US"/>
        </w:rPr>
        <w:br/>
      </w:r>
      <w:r>
        <w:rPr>
          <w:rFonts w:ascii="Tahoma" w:hAnsi="Tahoma" w:cs="Tahoma"/>
          <w:b/>
          <w:bCs/>
          <w:sz w:val="20"/>
          <w:szCs w:val="20"/>
          <w:lang w:val="en-US"/>
        </w:rPr>
        <w:t>Importance:</w:t>
      </w:r>
      <w:r>
        <w:rPr>
          <w:rFonts w:ascii="Tahoma" w:hAnsi="Tahoma" w:cs="Tahoma"/>
          <w:sz w:val="20"/>
          <w:szCs w:val="20"/>
          <w:lang w:val="en-US"/>
        </w:rPr>
        <w:t xml:space="preserve"> High</w:t>
      </w:r>
    </w:p>
    <w:p w:rsidR="00CB14B5" w:rsidRDefault="00CB14B5" w:rsidP="00CB14B5"/>
    <w:p w:rsidR="00CB14B5" w:rsidRDefault="00CB14B5" w:rsidP="00CB14B5">
      <w:r>
        <w:t xml:space="preserve">Hi Mike &amp; Julie, </w:t>
      </w:r>
    </w:p>
    <w:p w:rsidR="00CB14B5" w:rsidRDefault="00CB14B5" w:rsidP="00CB14B5"/>
    <w:p w:rsidR="00CB14B5" w:rsidRDefault="00CB14B5" w:rsidP="00CB14B5">
      <w:r>
        <w:t>BC Parks is continuing to conduct treatment at both Champion Lakes Park and West Arm Park.  We are going to be applying for additional FES funding for both projects as described below and are looking for your support of this continued work.   </w:t>
      </w:r>
    </w:p>
    <w:p w:rsidR="00CB14B5" w:rsidRDefault="00CB14B5" w:rsidP="00CB14B5">
      <w:pPr>
        <w:rPr>
          <w:color w:val="1F497D"/>
        </w:rPr>
      </w:pPr>
    </w:p>
    <w:p w:rsidR="00CB14B5" w:rsidRDefault="00CB14B5" w:rsidP="00CB14B5">
      <w:pPr>
        <w:pStyle w:val="ListParagraph"/>
        <w:numPr>
          <w:ilvl w:val="0"/>
          <w:numId w:val="1"/>
        </w:numPr>
      </w:pPr>
      <w:r>
        <w:rPr>
          <w:b/>
          <w:bCs/>
        </w:rPr>
        <w:t xml:space="preserve">Champion Lakes Park TU1 16.9 ha mechanical treatment: </w:t>
      </w:r>
      <w:r>
        <w:t>BC Parks is currently conducting the FES funded understory treatment of TU2 at Champion Lakes Park and is seeking additional FES funding to continue undertake treatment of TU1 (prescription and map attached).  Gord Pratt from FES recommended that BC Parks apply for separate funding for each treatment unit.  BCWS conducted a Fire Hazard Assessment in 2016 which prompted BC Parks to prioritize Champion Lakes Park for treatment.  Subsequently BC Parks got a fuel management prescription developed, along with associated arch assessment and gastropod survey.  FN has been consulted on this project and BC Parks has also consulted with the RDCK Director, Mayor of Fruitvale as well as the XC Ski Club.  BC Parks has contributed significantly to this project from the Park Enhancement Fund and Capital Program.   </w:t>
      </w:r>
    </w:p>
    <w:p w:rsidR="00CB14B5" w:rsidRDefault="00CB14B5" w:rsidP="00CB14B5">
      <w:pPr>
        <w:pStyle w:val="ListParagraph"/>
        <w:numPr>
          <w:ilvl w:val="0"/>
          <w:numId w:val="1"/>
        </w:numPr>
        <w:rPr>
          <w:b/>
          <w:bCs/>
        </w:rPr>
      </w:pPr>
      <w:r>
        <w:rPr>
          <w:b/>
          <w:bCs/>
        </w:rPr>
        <w:t xml:space="preserve">West Arm Park – </w:t>
      </w:r>
      <w:proofErr w:type="spellStart"/>
      <w:r>
        <w:rPr>
          <w:b/>
          <w:bCs/>
        </w:rPr>
        <w:t>Harrop</w:t>
      </w:r>
      <w:proofErr w:type="spellEnd"/>
      <w:r>
        <w:rPr>
          <w:b/>
          <w:bCs/>
        </w:rPr>
        <w:t xml:space="preserve"> Side TU1 10.3 ha hand treatment: </w:t>
      </w:r>
      <w:r>
        <w:t xml:space="preserve">BC Parks actually submitted an FES application for this project last year and it was funded, but we submitted a change request to Gord Pratt to take advantage of a partnership opportunity on the Nelson side of West Arm Park with Anderson Creek Timber and the Svoboda Road Residents to conduct treatment of TU 5.  TU5 on the Nelson side of West Arm Park is FES funded and is on hold due to weather and timing challenges but will take place next fall.  Therefore, BC Parks would like to once again apply to conduct the hand treatment of </w:t>
      </w:r>
      <w:proofErr w:type="spellStart"/>
      <w:r>
        <w:t>Lasca</w:t>
      </w:r>
      <w:proofErr w:type="spellEnd"/>
      <w:r>
        <w:t xml:space="preserve"> Road to protect park values as well as the community of </w:t>
      </w:r>
      <w:proofErr w:type="spellStart"/>
      <w:r>
        <w:t>Harrop</w:t>
      </w:r>
      <w:proofErr w:type="spellEnd"/>
      <w:r>
        <w:t xml:space="preserve"> (prescription and map attached).  </w:t>
      </w:r>
    </w:p>
    <w:p w:rsidR="00CB14B5" w:rsidRDefault="00CB14B5" w:rsidP="00CB14B5">
      <w:pPr>
        <w:pStyle w:val="ListParagraph"/>
        <w:numPr>
          <w:ilvl w:val="0"/>
          <w:numId w:val="1"/>
        </w:numPr>
      </w:pPr>
      <w:r>
        <w:rPr>
          <w:b/>
          <w:bCs/>
        </w:rPr>
        <w:t xml:space="preserve">West Arm Park – </w:t>
      </w:r>
      <w:proofErr w:type="spellStart"/>
      <w:r>
        <w:rPr>
          <w:b/>
          <w:bCs/>
        </w:rPr>
        <w:t>Harrop</w:t>
      </w:r>
      <w:proofErr w:type="spellEnd"/>
      <w:r>
        <w:rPr>
          <w:b/>
          <w:bCs/>
        </w:rPr>
        <w:t xml:space="preserve"> Side TU6 26.5 fuel management treatment: </w:t>
      </w:r>
      <w:r>
        <w:t xml:space="preserve">Additionally, BC Parks would like to submit a FES application for a treatment on the </w:t>
      </w:r>
      <w:proofErr w:type="spellStart"/>
      <w:r>
        <w:t>Harrop</w:t>
      </w:r>
      <w:proofErr w:type="spellEnd"/>
      <w:r>
        <w:t xml:space="preserve"> side of West Arm Park that will protect park values as well as the community of </w:t>
      </w:r>
      <w:proofErr w:type="spellStart"/>
      <w:r>
        <w:t>Harrop</w:t>
      </w:r>
      <w:proofErr w:type="spellEnd"/>
      <w:r>
        <w:t xml:space="preserve"> and nearby residents on Kootenay Lake.  This treatment also will provide much needed access to additional fuel management treatments on the </w:t>
      </w:r>
      <w:proofErr w:type="spellStart"/>
      <w:r>
        <w:t>Harrop</w:t>
      </w:r>
      <w:proofErr w:type="spellEnd"/>
      <w:r>
        <w:t xml:space="preserve"> side of West Arm Park (Rx and map attached).  All treatments for West Arm Park are as recommended in the West Arm Park Fire Management Plan.  All West Arm Park treatments have been discussed and supported by the RDCK, City of Nelson, and </w:t>
      </w:r>
      <w:proofErr w:type="spellStart"/>
      <w:r>
        <w:t>Harrop</w:t>
      </w:r>
      <w:proofErr w:type="spellEnd"/>
      <w:r>
        <w:t>-Procter Community Co-operative and many public meetings have been held to garner public support.  BC Parks is in the process of developing a Communication Plan with the RDCK and the City of Nelson Fire Chief to ensure the public is well informed about the prioritized treatments we are undertaking.</w:t>
      </w:r>
    </w:p>
    <w:p w:rsidR="00CB14B5" w:rsidRDefault="00CB14B5" w:rsidP="00CB14B5"/>
    <w:p w:rsidR="00CB14B5" w:rsidRDefault="00CB14B5" w:rsidP="00CB14B5"/>
    <w:p w:rsidR="00CB14B5" w:rsidRDefault="00CB14B5" w:rsidP="00CB14B5">
      <w:r>
        <w:lastRenderedPageBreak/>
        <w:t>Please let me know if you require any additional information or please feel free to call my cell phone (250 489 9211) if you would like to speak to me in person about these projects.</w:t>
      </w:r>
    </w:p>
    <w:p w:rsidR="00CB14B5" w:rsidRDefault="00CB14B5" w:rsidP="00CB14B5"/>
    <w:p w:rsidR="00CB14B5" w:rsidRDefault="00CB14B5" w:rsidP="00CB14B5">
      <w:pPr>
        <w:rPr>
          <w:color w:val="1F497D"/>
        </w:rPr>
      </w:pPr>
      <w:r>
        <w:t xml:space="preserve">Thanks so much, </w:t>
      </w:r>
    </w:p>
    <w:p w:rsidR="00CB14B5" w:rsidRDefault="00CB14B5" w:rsidP="00CB14B5">
      <w:pPr>
        <w:rPr>
          <w:color w:val="1F497D"/>
        </w:rPr>
      </w:pPr>
    </w:p>
    <w:p w:rsidR="00CB14B5" w:rsidRDefault="00CB14B5" w:rsidP="00CB14B5">
      <w:pPr>
        <w:rPr>
          <w:b/>
          <w:bCs/>
          <w:color w:val="1F497D"/>
          <w:sz w:val="24"/>
          <w:szCs w:val="24"/>
        </w:rPr>
      </w:pPr>
      <w:r>
        <w:rPr>
          <w:b/>
          <w:bCs/>
          <w:color w:val="1F497D"/>
          <w:sz w:val="24"/>
          <w:szCs w:val="24"/>
        </w:rPr>
        <w:t>Amanda Weber-Roy</w:t>
      </w:r>
    </w:p>
    <w:p w:rsidR="00CB14B5" w:rsidRDefault="00CB14B5" w:rsidP="00CB14B5">
      <w:pPr>
        <w:rPr>
          <w:color w:val="1F497D"/>
        </w:rPr>
      </w:pPr>
      <w:r>
        <w:rPr>
          <w:color w:val="1F497D"/>
        </w:rPr>
        <w:t>Kootenay Conservation Specialist</w:t>
      </w:r>
    </w:p>
    <w:p w:rsidR="00CB14B5" w:rsidRDefault="00CB14B5" w:rsidP="00CB14B5">
      <w:pPr>
        <w:rPr>
          <w:i/>
          <w:iCs/>
          <w:color w:val="1F497D"/>
          <w:lang w:eastAsia="en-US"/>
        </w:rPr>
      </w:pPr>
      <w:r>
        <w:rPr>
          <w:color w:val="262626"/>
        </w:rPr>
        <w:t xml:space="preserve">BC Parks | </w:t>
      </w:r>
      <w:r>
        <w:rPr>
          <w:color w:val="1F497D"/>
          <w:lang w:eastAsia="en-US"/>
        </w:rPr>
        <w:t>Ministry of Environment and Climate Change Strategy</w:t>
      </w:r>
      <w:r>
        <w:rPr>
          <w:i/>
          <w:iCs/>
          <w:color w:val="1F497D"/>
          <w:lang w:eastAsia="en-US"/>
        </w:rPr>
        <w:t xml:space="preserve"> </w:t>
      </w:r>
    </w:p>
    <w:p w:rsidR="00CB14B5" w:rsidRDefault="00CB14B5" w:rsidP="00CB14B5">
      <w:pPr>
        <w:rPr>
          <w:color w:val="262626"/>
        </w:rPr>
      </w:pPr>
      <w:r>
        <w:rPr>
          <w:color w:val="262626"/>
        </w:rPr>
        <w:t xml:space="preserve">Telephone: (250) 489-8563 </w:t>
      </w:r>
    </w:p>
    <w:p w:rsidR="00CB14B5" w:rsidRDefault="00CB14B5" w:rsidP="00CB14B5">
      <w:pPr>
        <w:rPr>
          <w:color w:val="595959"/>
        </w:rPr>
      </w:pPr>
      <w:hyperlink r:id="rId8" w:history="1">
        <w:r>
          <w:rPr>
            <w:rStyle w:val="Hyperlink"/>
          </w:rPr>
          <w:t>Amanda.Weber-Roy@gov.bc.ca</w:t>
        </w:r>
      </w:hyperlink>
      <w:r>
        <w:rPr>
          <w:color w:val="1F497D"/>
        </w:rPr>
        <w:t xml:space="preserve"> </w:t>
      </w:r>
      <w:r>
        <w:rPr>
          <w:color w:val="595959"/>
        </w:rPr>
        <w:t> </w:t>
      </w:r>
    </w:p>
    <w:p w:rsidR="00CB14B5" w:rsidRDefault="00CB14B5" w:rsidP="00CB14B5">
      <w:pPr>
        <w:rPr>
          <w:color w:val="595959"/>
        </w:rPr>
      </w:pPr>
      <w:hyperlink r:id="rId9" w:history="1">
        <w:r>
          <w:rPr>
            <w:rStyle w:val="Hyperlink"/>
          </w:rPr>
          <w:t>www.bcparks.ca</w:t>
        </w:r>
      </w:hyperlink>
      <w:r>
        <w:rPr>
          <w:color w:val="595959"/>
        </w:rPr>
        <w:t xml:space="preserve"> </w:t>
      </w:r>
    </w:p>
    <w:p w:rsidR="00CB14B5" w:rsidRDefault="00CB14B5" w:rsidP="00CB14B5">
      <w:pPr>
        <w:rPr>
          <w:color w:val="595959"/>
        </w:rPr>
      </w:pPr>
    </w:p>
    <w:p w:rsidR="00CB14B5" w:rsidRDefault="00CB14B5" w:rsidP="00CB14B5">
      <w:pPr>
        <w:rPr>
          <w:color w:val="1F497D"/>
          <w:lang w:eastAsia="en-US"/>
        </w:rPr>
      </w:pPr>
      <w:r>
        <w:rPr>
          <w:noProof/>
          <w:color w:val="1F497D"/>
        </w:rPr>
        <w:drawing>
          <wp:inline distT="0" distB="0" distL="0" distR="0">
            <wp:extent cx="1264285" cy="636270"/>
            <wp:effectExtent l="0" t="0" r="0" b="0"/>
            <wp:docPr id="1" name="Picture 1" descr="cid:image002.jpg@01D48719.81FE0E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jpg@01D48719.81FE0EF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264285" cy="636270"/>
                    </a:xfrm>
                    <a:prstGeom prst="rect">
                      <a:avLst/>
                    </a:prstGeom>
                    <a:noFill/>
                    <a:ln>
                      <a:noFill/>
                    </a:ln>
                  </pic:spPr>
                </pic:pic>
              </a:graphicData>
            </a:graphic>
          </wp:inline>
        </w:drawing>
      </w:r>
    </w:p>
    <w:p w:rsidR="00CB14B5" w:rsidRDefault="00CB14B5" w:rsidP="00CB14B5">
      <w:pPr>
        <w:rPr>
          <w:color w:val="1F497D"/>
        </w:rPr>
      </w:pPr>
      <w:r>
        <w:rPr>
          <w:color w:val="1F497D"/>
        </w:rPr>
        <w:t xml:space="preserve">BC Parks has recently launched new speciality plates! </w:t>
      </w:r>
      <w:hyperlink r:id="rId12" w:history="1">
        <w:r>
          <w:rPr>
            <w:rStyle w:val="Hyperlink"/>
          </w:rPr>
          <w:t>Get your BC Parks licence plate today</w:t>
        </w:r>
      </w:hyperlink>
      <w:r>
        <w:rPr>
          <w:color w:val="1F497D"/>
        </w:rPr>
        <w:t>.</w:t>
      </w:r>
    </w:p>
    <w:p w:rsidR="00CB14B5" w:rsidRDefault="00CB14B5" w:rsidP="00CB14B5">
      <w:pPr>
        <w:rPr>
          <w:color w:val="1F497D"/>
        </w:rPr>
      </w:pPr>
    </w:p>
    <w:p w:rsidR="00495F6E" w:rsidRDefault="00495F6E">
      <w:bookmarkStart w:id="0" w:name="_GoBack"/>
      <w:bookmarkEnd w:id="0"/>
    </w:p>
    <w:sectPr w:rsidR="00495F6E" w:rsidSect="00CB14B5">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16642C"/>
    <w:multiLevelType w:val="hybridMultilevel"/>
    <w:tmpl w:val="4A38CB44"/>
    <w:lvl w:ilvl="0" w:tplc="67C09B98">
      <w:start w:val="1"/>
      <w:numFmt w:val="decimal"/>
      <w:lvlText w:val="%1."/>
      <w:lvlJc w:val="left"/>
      <w:pPr>
        <w:ind w:left="720" w:hanging="360"/>
      </w:pPr>
      <w:rPr>
        <w:b/>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14B5"/>
    <w:rsid w:val="00495F6E"/>
    <w:rsid w:val="00CB14B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4B5"/>
    <w:pPr>
      <w:spacing w:after="0" w:line="240" w:lineRule="auto"/>
    </w:pPr>
    <w:rPr>
      <w:rFonts w:ascii="Calibri" w:hAnsi="Calibri" w:cs="Times New Roman"/>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B14B5"/>
    <w:rPr>
      <w:color w:val="0000FF"/>
      <w:u w:val="single"/>
    </w:rPr>
  </w:style>
  <w:style w:type="paragraph" w:styleId="ListParagraph">
    <w:name w:val="List Paragraph"/>
    <w:basedOn w:val="Normal"/>
    <w:uiPriority w:val="34"/>
    <w:qFormat/>
    <w:rsid w:val="00CB14B5"/>
    <w:pPr>
      <w:ind w:left="720"/>
    </w:pPr>
  </w:style>
  <w:style w:type="paragraph" w:styleId="BalloonText">
    <w:name w:val="Balloon Text"/>
    <w:basedOn w:val="Normal"/>
    <w:link w:val="BalloonTextChar"/>
    <w:uiPriority w:val="99"/>
    <w:semiHidden/>
    <w:unhideWhenUsed/>
    <w:rsid w:val="00CB14B5"/>
    <w:rPr>
      <w:rFonts w:ascii="Tahoma" w:hAnsi="Tahoma" w:cs="Tahoma"/>
      <w:sz w:val="16"/>
      <w:szCs w:val="16"/>
    </w:rPr>
  </w:style>
  <w:style w:type="character" w:customStyle="1" w:styleId="BalloonTextChar">
    <w:name w:val="Balloon Text Char"/>
    <w:basedOn w:val="DefaultParagraphFont"/>
    <w:link w:val="BalloonText"/>
    <w:uiPriority w:val="99"/>
    <w:semiHidden/>
    <w:rsid w:val="00CB14B5"/>
    <w:rPr>
      <w:rFonts w:ascii="Tahoma" w:hAnsi="Tahoma" w:cs="Tahoma"/>
      <w:sz w:val="16"/>
      <w:szCs w:val="16"/>
      <w:lang w:eastAsia="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4B5"/>
    <w:pPr>
      <w:spacing w:after="0" w:line="240" w:lineRule="auto"/>
    </w:pPr>
    <w:rPr>
      <w:rFonts w:ascii="Calibri" w:hAnsi="Calibri" w:cs="Times New Roman"/>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B14B5"/>
    <w:rPr>
      <w:color w:val="0000FF"/>
      <w:u w:val="single"/>
    </w:rPr>
  </w:style>
  <w:style w:type="paragraph" w:styleId="ListParagraph">
    <w:name w:val="List Paragraph"/>
    <w:basedOn w:val="Normal"/>
    <w:uiPriority w:val="34"/>
    <w:qFormat/>
    <w:rsid w:val="00CB14B5"/>
    <w:pPr>
      <w:ind w:left="720"/>
    </w:pPr>
  </w:style>
  <w:style w:type="paragraph" w:styleId="BalloonText">
    <w:name w:val="Balloon Text"/>
    <w:basedOn w:val="Normal"/>
    <w:link w:val="BalloonTextChar"/>
    <w:uiPriority w:val="99"/>
    <w:semiHidden/>
    <w:unhideWhenUsed/>
    <w:rsid w:val="00CB14B5"/>
    <w:rPr>
      <w:rFonts w:ascii="Tahoma" w:hAnsi="Tahoma" w:cs="Tahoma"/>
      <w:sz w:val="16"/>
      <w:szCs w:val="16"/>
    </w:rPr>
  </w:style>
  <w:style w:type="character" w:customStyle="1" w:styleId="BalloonTextChar">
    <w:name w:val="Balloon Text Char"/>
    <w:basedOn w:val="DefaultParagraphFont"/>
    <w:link w:val="BalloonText"/>
    <w:uiPriority w:val="99"/>
    <w:semiHidden/>
    <w:rsid w:val="00CB14B5"/>
    <w:rPr>
      <w:rFonts w:ascii="Tahoma" w:hAnsi="Tahoma" w:cs="Tahoma"/>
      <w:sz w:val="16"/>
      <w:szCs w:val="16"/>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7002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anda.Weber-Roy@gov.bc.ca"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cid:image001.png@01D48719.81FE0EF0" TargetMode="External"/><Relationship Id="rId12" Type="http://schemas.openxmlformats.org/officeDocument/2006/relationships/hyperlink" Target="http://www.icbc.com/vehicle-registration/licence-plates/Pages/bc-parks-plates.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cid:image002.jpg@01D48719.81FE0EF0"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bcparks.c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585</Words>
  <Characters>3336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3914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Weber-Roy, Amanda ENV:EX</dc:creator>
  <cp:lastModifiedBy>Weber-Roy, Amanda ENV:EX</cp:lastModifiedBy>
  <cp:revision>2</cp:revision>
  <dcterms:created xsi:type="dcterms:W3CDTF">2018-11-29T20:54:00Z</dcterms:created>
  <dcterms:modified xsi:type="dcterms:W3CDTF">2018-11-29T20:54:00Z</dcterms:modified>
</cp:coreProperties>
</file>